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24"/>
          <w:szCs w:val="24"/>
        </w:rPr>
        <w:t> </w:t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color w:val="333333"/>
          <w:kern w:val="2"/>
          <w:sz w:val="32"/>
          <w:szCs w:val="32"/>
        </w:rPr>
        <w:t>工程建设项目招标投标随机抽查事项清单</w:t>
      </w:r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880"/>
        <w:gridCol w:w="2125"/>
        <w:gridCol w:w="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  <w:t>检查方式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  <w:t>检查依据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招标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1.招标前置条件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现场检查、书面检查、网络监测和实地核查等</w:t>
            </w:r>
          </w:p>
        </w:tc>
        <w:tc>
          <w:tcPr>
            <w:tcW w:w="28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1.《中华人民共和国招标投标法》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2.《中华人民共和国招标投标法实施条例》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3.《宁波市公共资源交易管理条例》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4.《宁波市公共资源交易监督管理办法》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5.《宁波市工程建设项目投标资格审查办法和招标评标办法》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6.其他法律法规规定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2.招标方式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3.招标组织形式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4.招标委托合同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5.资格预审公告、招标公告或投标邀请书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6.资格预审文件、招标文件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投标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1.资格预审文件或招标文件异议提出及答复情况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2.有无串通投标、以他人名义投标或者以其他方式弄虚作假的行为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开标和评标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1. 开标情况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现场检查、书面检查、网络监测和实地核查等</w:t>
            </w:r>
          </w:p>
        </w:tc>
        <w:tc>
          <w:tcPr>
            <w:tcW w:w="28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1.《中华人民共和国招标投标法》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2.《中华人民共和国招标投标法实施条例》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3.《宁波市公共资源交易管理条例》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4.《宁波市公共资源交易监督管理办法》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5.《宁波市工程建设项目投标资格审查办法和招标评标办法》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6.其他法律法规规定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2. 开标异议提出及答复情况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3. 评标委员会组建情况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4. 评标情况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6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评标结果公示和中标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1. 评标结果公示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2.评标结果异议提出及答复情况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3.确定中标人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4.中标结果公告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5.中标通知书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6.合同签订情况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7.投标保证金退还情况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8.招标、投标、评标情况依法上报及存档情况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27AB7"/>
    <w:rsid w:val="6F02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2022-09-28T02:38:00Z</dcterms:created>
  <dc:creator>Ariel</dc:creator>
  <cp:lastModifiedBy>Ariel</cp:lastModifiedBy>
  <dcterms:modified xsi:type="dcterms:W3CDTF">2022-09-28T02:38:24Z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